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79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</w:rPr>
      </w:pPr>
    </w:p>
    <w:p w:rsidR="00CA0579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</w:rPr>
      </w:pPr>
    </w:p>
    <w:p w:rsidR="00CA0579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</w:rPr>
      </w:pPr>
    </w:p>
    <w:p w:rsidR="00CA0579" w:rsidRPr="001D653A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</w:rPr>
      </w:pPr>
      <w:r w:rsidRPr="001D653A">
        <w:rPr>
          <w:rFonts w:ascii="Arial" w:eastAsia="Arial Unicode MS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47625</wp:posOffset>
            </wp:positionV>
            <wp:extent cx="866775" cy="933450"/>
            <wp:effectExtent l="19050" t="0" r="9525" b="0"/>
            <wp:wrapThrough wrapText="bothSides">
              <wp:wrapPolygon edited="0">
                <wp:start x="-475" y="0"/>
                <wp:lineTo x="-475" y="21159"/>
                <wp:lineTo x="21837" y="21159"/>
                <wp:lineTo x="21837" y="0"/>
                <wp:lineTo x="-475" y="0"/>
              </wp:wrapPolygon>
            </wp:wrapThrough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53A">
        <w:rPr>
          <w:rFonts w:ascii="Arial" w:eastAsia="Arial Unicode MS" w:hAnsi="Arial" w:cs="Arial"/>
          <w:b/>
          <w:bCs/>
        </w:rPr>
        <w:t>SRI SATHGURU SANGEETHA VIDYALAYAM</w:t>
      </w:r>
    </w:p>
    <w:p w:rsidR="00CA0579" w:rsidRPr="001D653A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1D653A">
        <w:rPr>
          <w:rFonts w:ascii="Arial" w:eastAsia="Arial Unicode MS" w:hAnsi="Arial" w:cs="Arial"/>
          <w:b/>
          <w:bCs/>
          <w:sz w:val="24"/>
          <w:szCs w:val="24"/>
        </w:rPr>
        <w:t>COLLEGE OF MUSIC &amp; RESEARCH CENTRE</w:t>
      </w:r>
    </w:p>
    <w:p w:rsidR="00CA0579" w:rsidRPr="001D653A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1D653A">
        <w:rPr>
          <w:rFonts w:ascii="Arial" w:eastAsia="Arial Unicode MS" w:hAnsi="Arial" w:cs="Arial"/>
          <w:spacing w:val="-1"/>
          <w:w w:val="85"/>
          <w:sz w:val="20"/>
          <w:szCs w:val="20"/>
        </w:rPr>
        <w:t>(</w:t>
      </w:r>
      <w:r w:rsidRPr="001D653A">
        <w:rPr>
          <w:rFonts w:ascii="Arial" w:eastAsia="Arial Unicode MS" w:hAnsi="Arial" w:cs="Arial"/>
          <w:spacing w:val="-2"/>
          <w:w w:val="85"/>
          <w:sz w:val="20"/>
          <w:szCs w:val="20"/>
        </w:rPr>
        <w:t xml:space="preserve">Nationally </w:t>
      </w:r>
      <w:r>
        <w:rPr>
          <w:rFonts w:ascii="Arial" w:eastAsia="Arial Unicode MS" w:hAnsi="Arial" w:cs="Arial"/>
          <w:w w:val="85"/>
          <w:sz w:val="20"/>
          <w:szCs w:val="20"/>
        </w:rPr>
        <w:t>Accredited</w:t>
      </w:r>
      <w:r w:rsidRPr="001D653A">
        <w:rPr>
          <w:rFonts w:ascii="Arial" w:eastAsia="Arial Unicode MS" w:hAnsi="Arial" w:cs="Arial"/>
          <w:w w:val="85"/>
          <w:sz w:val="20"/>
          <w:szCs w:val="20"/>
        </w:rPr>
        <w:t xml:space="preserve"> </w:t>
      </w:r>
      <w:r w:rsidRPr="001D653A">
        <w:rPr>
          <w:rFonts w:ascii="Arial" w:eastAsia="Arial Unicode MS" w:hAnsi="Arial" w:cs="Arial"/>
          <w:spacing w:val="-1"/>
          <w:w w:val="85"/>
          <w:sz w:val="20"/>
          <w:szCs w:val="20"/>
        </w:rPr>
        <w:t xml:space="preserve">with </w:t>
      </w:r>
      <w:r w:rsidRPr="001D653A">
        <w:rPr>
          <w:rFonts w:ascii="Arial" w:eastAsia="Arial Unicode MS" w:hAnsi="Arial" w:cs="Arial"/>
          <w:spacing w:val="13"/>
          <w:w w:val="85"/>
          <w:sz w:val="20"/>
          <w:szCs w:val="20"/>
        </w:rPr>
        <w:t>B</w:t>
      </w:r>
      <w:r w:rsidRPr="001D653A">
        <w:rPr>
          <w:rFonts w:ascii="Arial" w:eastAsia="Arial Unicode MS" w:hAnsi="Arial" w:cs="Arial"/>
          <w:spacing w:val="9"/>
          <w:w w:val="85"/>
          <w:sz w:val="20"/>
          <w:szCs w:val="20"/>
        </w:rPr>
        <w:t xml:space="preserve">+ </w:t>
      </w:r>
      <w:r w:rsidRPr="001D653A">
        <w:rPr>
          <w:rFonts w:ascii="Arial" w:eastAsia="Arial Unicode MS" w:hAnsi="Arial" w:cs="Arial"/>
          <w:w w:val="85"/>
          <w:sz w:val="20"/>
          <w:szCs w:val="20"/>
        </w:rPr>
        <w:t>Grade by NAAC</w:t>
      </w:r>
      <w:r w:rsidRPr="001D653A">
        <w:rPr>
          <w:rFonts w:ascii="Arial" w:eastAsia="Arial Unicode MS" w:hAnsi="Arial" w:cs="Arial"/>
          <w:b/>
          <w:bCs/>
          <w:sz w:val="20"/>
          <w:szCs w:val="20"/>
        </w:rPr>
        <w:t>)</w:t>
      </w:r>
    </w:p>
    <w:p w:rsidR="00CA0579" w:rsidRPr="001D653A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1D653A">
        <w:rPr>
          <w:rFonts w:ascii="Arial" w:eastAsia="Arial Unicode MS" w:hAnsi="Arial" w:cs="Arial"/>
          <w:b/>
          <w:bCs/>
          <w:sz w:val="20"/>
          <w:szCs w:val="20"/>
        </w:rPr>
        <w:t xml:space="preserve"> (Affiliated to Tamil Nadu Music and Fine Arts University)</w:t>
      </w:r>
    </w:p>
    <w:p w:rsidR="00CA0579" w:rsidRPr="001D653A" w:rsidRDefault="00CA0579" w:rsidP="00CA0579">
      <w:pPr>
        <w:spacing w:line="240" w:lineRule="auto"/>
        <w:contextualSpacing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1D653A">
        <w:rPr>
          <w:rFonts w:ascii="Arial" w:eastAsia="Arial Unicode MS" w:hAnsi="Arial" w:cs="Arial"/>
          <w:b/>
          <w:bCs/>
          <w:sz w:val="20"/>
          <w:szCs w:val="20"/>
        </w:rPr>
        <w:t>15-A, Gokhale Road, Tallakulam, MADURAI - 625 002</w:t>
      </w:r>
    </w:p>
    <w:p w:rsidR="00CA0579" w:rsidRDefault="00CA0579" w:rsidP="00CA0579">
      <w:pPr>
        <w:spacing w:line="240" w:lineRule="auto"/>
        <w:contextualSpacing/>
        <w:jc w:val="center"/>
      </w:pPr>
      <w:r w:rsidRPr="001D653A">
        <w:rPr>
          <w:rFonts w:ascii="Arial" w:eastAsia="Arial Unicode MS" w:hAnsi="Arial" w:cs="Arial"/>
          <w:b/>
          <w:bCs/>
          <w:sz w:val="20"/>
          <w:szCs w:val="20"/>
        </w:rPr>
        <w:t xml:space="preserve">Ph. 0452-2530957; Email: </w:t>
      </w:r>
      <w:hyperlink r:id="rId5" w:history="1">
        <w:r w:rsidRPr="001D653A">
          <w:rPr>
            <w:rStyle w:val="Hyperlink"/>
            <w:rFonts w:ascii="Arial" w:eastAsia="Arial Unicode MS" w:hAnsi="Arial" w:cs="Arial"/>
            <w:b/>
            <w:bCs/>
            <w:sz w:val="20"/>
            <w:szCs w:val="20"/>
          </w:rPr>
          <w:t>sssvidyalayam@gmail.com</w:t>
        </w:r>
      </w:hyperlink>
    </w:p>
    <w:p w:rsidR="00CA0579" w:rsidRDefault="00CA0579" w:rsidP="00CA0579">
      <w:pPr>
        <w:spacing w:line="240" w:lineRule="auto"/>
        <w:contextualSpacing/>
        <w:jc w:val="center"/>
      </w:pPr>
    </w:p>
    <w:p w:rsidR="00CA0579" w:rsidRPr="005A4A2B" w:rsidRDefault="00CA0579" w:rsidP="00CA0579">
      <w:pPr>
        <w:spacing w:line="240" w:lineRule="auto"/>
        <w:contextualSpacing/>
        <w:jc w:val="center"/>
        <w:rPr>
          <w:rFonts w:eastAsia="Arial Unicode MS" w:cstheme="minorHAnsi"/>
          <w:b/>
          <w:bCs/>
          <w:sz w:val="20"/>
          <w:szCs w:val="20"/>
        </w:rPr>
      </w:pPr>
      <w:r>
        <w:rPr>
          <w:rFonts w:eastAsia="Arial Unicode MS" w:cstheme="minorHAnsi"/>
          <w:b/>
          <w:bCs/>
          <w:sz w:val="20"/>
          <w:szCs w:val="20"/>
        </w:rPr>
        <w:t>__________________________________________________________________________________________</w:t>
      </w:r>
    </w:p>
    <w:p w:rsidR="00CA0579" w:rsidRDefault="00CA0579" w:rsidP="00CA0579">
      <w:pPr>
        <w:spacing w:line="240" w:lineRule="auto"/>
        <w:contextualSpacing/>
        <w:jc w:val="center"/>
        <w:rPr>
          <w:rFonts w:eastAsia="Arial Unicode MS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519"/>
      </w:tblGrid>
      <w:tr w:rsidR="00CA0579" w:rsidTr="00B212EC">
        <w:tc>
          <w:tcPr>
            <w:tcW w:w="4723" w:type="dxa"/>
          </w:tcPr>
          <w:p w:rsidR="00B212EC" w:rsidRDefault="00CA0579" w:rsidP="00B212EC">
            <w:pPr>
              <w:tabs>
                <w:tab w:val="right" w:pos="4507"/>
              </w:tabs>
            </w:pPr>
            <w:r w:rsidRPr="00CA0579">
              <w:drawing>
                <wp:inline distT="0" distB="0" distL="0" distR="0">
                  <wp:extent cx="2771775" cy="2324100"/>
                  <wp:effectExtent l="19050" t="0" r="9525" b="0"/>
                  <wp:docPr id="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212EC" w:rsidRDefault="00B212EC"/>
        </w:tc>
        <w:tc>
          <w:tcPr>
            <w:tcW w:w="4519" w:type="dxa"/>
          </w:tcPr>
          <w:p w:rsidR="00CA0579" w:rsidRDefault="00CA0579">
            <w:r w:rsidRPr="00CA0579">
              <w:drawing>
                <wp:inline distT="0" distB="0" distL="0" distR="0">
                  <wp:extent cx="2676525" cy="2324100"/>
                  <wp:effectExtent l="19050" t="0" r="9525" b="0"/>
                  <wp:docPr id="11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771775" cy="2476500"/>
                  <wp:effectExtent l="19050" t="0" r="9525" b="0"/>
                  <wp:wrapSquare wrapText="bothSides"/>
                  <wp:docPr id="12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76525" cy="2476500"/>
                  <wp:effectExtent l="19050" t="0" r="9525" b="0"/>
                  <wp:docPr id="15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895600" cy="2352675"/>
                  <wp:effectExtent l="19050" t="0" r="19050" b="0"/>
                  <wp:wrapSquare wrapText="bothSides"/>
                  <wp:docPr id="17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76525" cy="2352675"/>
                  <wp:effectExtent l="19050" t="0" r="9525" b="0"/>
                  <wp:docPr id="23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-869315</wp:posOffset>
                  </wp:positionV>
                  <wp:extent cx="2895600" cy="2305050"/>
                  <wp:effectExtent l="19050" t="0" r="19050" b="0"/>
                  <wp:wrapSquare wrapText="bothSides"/>
                  <wp:docPr id="29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86050" cy="2305050"/>
                  <wp:effectExtent l="19050" t="0" r="19050" b="0"/>
                  <wp:docPr id="30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819400" cy="2352675"/>
                  <wp:effectExtent l="19050" t="0" r="19050" b="0"/>
                  <wp:wrapSquare wrapText="bothSides"/>
                  <wp:docPr id="31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76525" cy="2352675"/>
                  <wp:effectExtent l="19050" t="0" r="9525" b="0"/>
                  <wp:docPr id="32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819400" cy="2333625"/>
                  <wp:effectExtent l="19050" t="0" r="19050" b="0"/>
                  <wp:wrapSquare wrapText="bothSides"/>
                  <wp:docPr id="33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86050" cy="2333625"/>
                  <wp:effectExtent l="19050" t="0" r="19050" b="0"/>
                  <wp:docPr id="34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819400" cy="2362200"/>
                  <wp:effectExtent l="19050" t="0" r="19050" b="0"/>
                  <wp:docPr id="35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86050" cy="2305050"/>
                  <wp:effectExtent l="19050" t="0" r="19050" b="0"/>
                  <wp:docPr id="36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819400" cy="2314575"/>
                  <wp:effectExtent l="19050" t="0" r="19050" b="0"/>
                  <wp:docPr id="37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686050" cy="2314575"/>
                  <wp:effectExtent l="19050" t="0" r="19050" b="0"/>
                  <wp:docPr id="38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4723" w:type="dxa"/>
          </w:tcPr>
          <w:p w:rsidR="00CA0579" w:rsidRPr="00CA0579" w:rsidRDefault="00CA0579" w:rsidP="00CA0579">
            <w:pPr>
              <w:jc w:val="both"/>
            </w:pPr>
            <w:r w:rsidRPr="00CA0579"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819400" cy="2667000"/>
                  <wp:effectExtent l="19050" t="0" r="19050" b="0"/>
                  <wp:wrapSquare wrapText="bothSides"/>
                  <wp:docPr id="39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  <w:tc>
          <w:tcPr>
            <w:tcW w:w="4519" w:type="dxa"/>
          </w:tcPr>
          <w:p w:rsidR="00CA0579" w:rsidRPr="00CA0579" w:rsidRDefault="00CA0579">
            <w:r w:rsidRPr="00CA0579">
              <w:drawing>
                <wp:inline distT="0" distB="0" distL="0" distR="0">
                  <wp:extent cx="2762250" cy="2667000"/>
                  <wp:effectExtent l="19050" t="0" r="19050" b="0"/>
                  <wp:docPr id="41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CA0579" w:rsidTr="00B212EC">
        <w:tc>
          <w:tcPr>
            <w:tcW w:w="9242" w:type="dxa"/>
            <w:gridSpan w:val="2"/>
          </w:tcPr>
          <w:p w:rsidR="00B212EC" w:rsidRDefault="00B212EC" w:rsidP="00CA0579">
            <w:pPr>
              <w:jc w:val="center"/>
            </w:pPr>
          </w:p>
          <w:p w:rsidR="00B212EC" w:rsidRPr="00CA0579" w:rsidRDefault="00CA0579" w:rsidP="00B212EC">
            <w:pPr>
              <w:jc w:val="center"/>
            </w:pPr>
            <w:r w:rsidRPr="00CA0579">
              <w:drawing>
                <wp:inline distT="0" distB="0" distL="0" distR="0">
                  <wp:extent cx="2914650" cy="2590800"/>
                  <wp:effectExtent l="19050" t="0" r="19050" b="0"/>
                  <wp:docPr id="42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596864" w:rsidRDefault="00596864"/>
    <w:sectPr w:rsidR="00596864" w:rsidSect="00596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0579"/>
    <w:rsid w:val="001E6CFF"/>
    <w:rsid w:val="0024026E"/>
    <w:rsid w:val="00356AE1"/>
    <w:rsid w:val="00357EA4"/>
    <w:rsid w:val="00596864"/>
    <w:rsid w:val="00765F35"/>
    <w:rsid w:val="007F3786"/>
    <w:rsid w:val="00830A51"/>
    <w:rsid w:val="009977F8"/>
    <w:rsid w:val="00B212EC"/>
    <w:rsid w:val="00C67CAE"/>
    <w:rsid w:val="00CA0579"/>
    <w:rsid w:val="00DB4D25"/>
    <w:rsid w:val="00E650DE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79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5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79"/>
    <w:rPr>
      <w:rFonts w:ascii="Tahoma" w:eastAsiaTheme="minorEastAsia" w:hAnsi="Tahoma" w:cs="Tahoma"/>
      <w:sz w:val="16"/>
      <w:szCs w:val="16"/>
      <w:lang w:val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hyperlink" Target="mailto:sssvidyalayam@gmail.com" TargetMode="Externa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image" Target="media/image1.jpeg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 Q1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43.3</c:v>
                </c:pt>
                <c:pt idx="1">
                  <c:v>50.9</c:v>
                </c:pt>
                <c:pt idx="2">
                  <c:v>5.6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Q10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60.3</c:v>
                </c:pt>
                <c:pt idx="1">
                  <c:v>26.4</c:v>
                </c:pt>
                <c:pt idx="2">
                  <c:v>9.4</c:v>
                </c:pt>
                <c:pt idx="3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Q11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45.2</c:v>
                </c:pt>
                <c:pt idx="1">
                  <c:v>33.9</c:v>
                </c:pt>
                <c:pt idx="2">
                  <c:v>20.7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Q12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49.1</c:v>
                </c:pt>
                <c:pt idx="1">
                  <c:v>24.5</c:v>
                </c:pt>
                <c:pt idx="2">
                  <c:v>15.1</c:v>
                </c:pt>
                <c:pt idx="3">
                  <c:v>11.3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Q13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56.6</c:v>
                </c:pt>
                <c:pt idx="1">
                  <c:v>41.5</c:v>
                </c:pt>
                <c:pt idx="2">
                  <c:v>1.8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Q14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71.599999999999994</c:v>
                </c:pt>
                <c:pt idx="1">
                  <c:v>16.899999999999999</c:v>
                </c:pt>
                <c:pt idx="2">
                  <c:v>9.43</c:v>
                </c:pt>
                <c:pt idx="3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Q15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47.3</c:v>
                </c:pt>
                <c:pt idx="1">
                  <c:v>32</c:v>
                </c:pt>
                <c:pt idx="2">
                  <c:v>11.3</c:v>
                </c:pt>
                <c:pt idx="3">
                  <c:v>7.5</c:v>
                </c:pt>
                <c:pt idx="4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Q16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52.8</c:v>
                </c:pt>
                <c:pt idx="1">
                  <c:v>26.4</c:v>
                </c:pt>
                <c:pt idx="2">
                  <c:v>9.4</c:v>
                </c:pt>
                <c:pt idx="3">
                  <c:v>9.4</c:v>
                </c:pt>
                <c:pt idx="4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Q17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43.3</c:v>
                </c:pt>
                <c:pt idx="2">
                  <c:v>15.1</c:v>
                </c:pt>
                <c:pt idx="3">
                  <c:v>3.7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Q18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58.4</c:v>
                </c:pt>
                <c:pt idx="2">
                  <c:v>20.7</c:v>
                </c:pt>
                <c:pt idx="3">
                  <c:v>3.7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Q19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54.7</c:v>
                </c:pt>
                <c:pt idx="1">
                  <c:v>37.700000000000003</c:v>
                </c:pt>
                <c:pt idx="2">
                  <c:v>5.6</c:v>
                </c:pt>
                <c:pt idx="3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Q2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52.8</c:v>
                </c:pt>
                <c:pt idx="1">
                  <c:v>41.5</c:v>
                </c:pt>
                <c:pt idx="2">
                  <c:v>5.6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22.6</c:v>
                </c:pt>
                <c:pt idx="1">
                  <c:v>56.6</c:v>
                </c:pt>
                <c:pt idx="2">
                  <c:v>18.8</c:v>
                </c:pt>
                <c:pt idx="3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Q4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58.8</c:v>
                </c:pt>
                <c:pt idx="1">
                  <c:v>37.700000000000003</c:v>
                </c:pt>
                <c:pt idx="2">
                  <c:v>9.4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Q5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56.6</c:v>
                </c:pt>
                <c:pt idx="1">
                  <c:v>35.800000000000004</c:v>
                </c:pt>
                <c:pt idx="2">
                  <c:v>7.5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Q6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60.3</c:v>
                </c:pt>
                <c:pt idx="1">
                  <c:v>24.5</c:v>
                </c:pt>
                <c:pt idx="2">
                  <c:v>11.3</c:v>
                </c:pt>
                <c:pt idx="3">
                  <c:v>3.7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Q7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62.2</c:v>
                </c:pt>
                <c:pt idx="1">
                  <c:v>26.4</c:v>
                </c:pt>
                <c:pt idx="2">
                  <c:v>11.3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SSS Q8</c:v>
                </c:pt>
              </c:strCache>
            </c:strRef>
          </c:tx>
          <c:dLbls>
            <c:showVal val="1"/>
            <c:showLeaderLines val="1"/>
          </c:dLbls>
          <c:cat>
            <c:strRef>
              <c:f>'Sheet1'!$A$2:$A$5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62.2</c:v>
                </c:pt>
                <c:pt idx="1">
                  <c:v>26.4</c:v>
                </c:pt>
                <c:pt idx="2">
                  <c:v>9.4</c:v>
                </c:pt>
                <c:pt idx="3">
                  <c:v>1.8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SSS Q9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28.3</c:v>
                </c:pt>
                <c:pt idx="1">
                  <c:v>33.9</c:v>
                </c:pt>
                <c:pt idx="2">
                  <c:v>18.8</c:v>
                </c:pt>
                <c:pt idx="3">
                  <c:v>18.8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 Lab-4</dc:creator>
  <cp:lastModifiedBy>SSS Lab-4</cp:lastModifiedBy>
  <cp:revision>1</cp:revision>
  <dcterms:created xsi:type="dcterms:W3CDTF">2020-01-29T05:04:00Z</dcterms:created>
  <dcterms:modified xsi:type="dcterms:W3CDTF">2020-01-29T05:27:00Z</dcterms:modified>
</cp:coreProperties>
</file>